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CF9D" w14:textId="77777777" w:rsidR="00413E9C" w:rsidRDefault="00413E9C" w:rsidP="00413E9C">
      <w:pPr>
        <w:pStyle w:val="Heading1"/>
        <w:ind w:left="0" w:right="0"/>
        <w:rPr>
          <w:spacing w:val="1"/>
        </w:rPr>
      </w:pPr>
      <w:r>
        <w:t>Village of Canton, New York</w:t>
      </w:r>
      <w:r>
        <w:rPr>
          <w:spacing w:val="1"/>
        </w:rPr>
        <w:t xml:space="preserve"> </w:t>
      </w:r>
    </w:p>
    <w:p w14:paraId="721ECA70" w14:textId="4E5805CE" w:rsidR="0016415C" w:rsidRDefault="0008218A" w:rsidP="00413E9C">
      <w:pPr>
        <w:pStyle w:val="Heading1"/>
        <w:ind w:left="0" w:right="0"/>
      </w:pPr>
      <w:r>
        <w:t>Local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 w:rsidR="00A9464C">
        <w:t>#3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2021</w:t>
      </w:r>
    </w:p>
    <w:p w14:paraId="721ECA71" w14:textId="77777777" w:rsidR="0016415C" w:rsidRDefault="0016415C" w:rsidP="00413E9C">
      <w:pPr>
        <w:pStyle w:val="BodyText"/>
        <w:rPr>
          <w:b/>
          <w:i/>
        </w:rPr>
      </w:pPr>
    </w:p>
    <w:p w14:paraId="0874FE04" w14:textId="095A170E" w:rsidR="00A9464C" w:rsidRDefault="00A9464C" w:rsidP="007223AE">
      <w:pPr>
        <w:pStyle w:val="Heading1"/>
        <w:ind w:left="0" w:right="0"/>
      </w:pPr>
      <w:r>
        <w:t>A</w:t>
      </w:r>
      <w:r w:rsidR="00AB1F17">
        <w:t xml:space="preserve">mending </w:t>
      </w:r>
      <w:r w:rsidR="00D11D71">
        <w:t>t</w:t>
      </w:r>
      <w:r>
        <w:t xml:space="preserve">he Canton Village Code </w:t>
      </w:r>
      <w:r w:rsidR="00D11D71">
        <w:t>by</w:t>
      </w:r>
    </w:p>
    <w:p w14:paraId="721ECA73" w14:textId="2D9A5701" w:rsidR="0016415C" w:rsidRDefault="00A9464C" w:rsidP="007223AE">
      <w:pPr>
        <w:pStyle w:val="Heading1"/>
        <w:ind w:left="0" w:right="0"/>
      </w:pPr>
      <w:r>
        <w:t>Repealing Chapter 325 (Zoning)</w:t>
      </w:r>
      <w:r w:rsidR="00D11D71">
        <w:t>,</w:t>
      </w:r>
      <w:r>
        <w:t xml:space="preserve"> </w:t>
      </w:r>
      <w:r w:rsidR="00D11D71">
        <w:t>and by</w:t>
      </w:r>
    </w:p>
    <w:p w14:paraId="707E14BD" w14:textId="570C5E8E" w:rsidR="00A9464C" w:rsidRDefault="00A9464C" w:rsidP="007223AE">
      <w:pPr>
        <w:pStyle w:val="Heading1"/>
        <w:ind w:left="0" w:right="0"/>
      </w:pPr>
      <w:r>
        <w:t>Replacing S</w:t>
      </w:r>
      <w:r w:rsidR="00AB1F17">
        <w:t>ame With N</w:t>
      </w:r>
      <w:r>
        <w:t>ew Chapter 325 (Zoning Law)</w:t>
      </w:r>
    </w:p>
    <w:p w14:paraId="721ECA74" w14:textId="77777777" w:rsidR="0016415C" w:rsidRDefault="0016415C">
      <w:pPr>
        <w:pStyle w:val="BodyText"/>
        <w:spacing w:before="7"/>
        <w:rPr>
          <w:b/>
          <w:i/>
          <w:sz w:val="23"/>
        </w:rPr>
      </w:pPr>
    </w:p>
    <w:p w14:paraId="721ECA75" w14:textId="0A4F07EF" w:rsidR="0016415C" w:rsidRDefault="0008218A" w:rsidP="007223AE">
      <w:pPr>
        <w:pStyle w:val="BodyText"/>
        <w:ind w:left="100" w:firstLine="720"/>
      </w:pPr>
      <w:r>
        <w:rPr>
          <w:i/>
        </w:rPr>
        <w:t>WHEREAS</w:t>
      </w:r>
      <w:r>
        <w:t>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 Municipal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Rule Law</w:t>
      </w:r>
      <w:r>
        <w:rPr>
          <w:spacing w:val="-1"/>
        </w:rPr>
        <w:t xml:space="preserve"> </w:t>
      </w:r>
      <w:r>
        <w:t>permits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</w:t>
      </w:r>
      <w:r w:rsidR="007223AE"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 w:rsidR="00237F6C">
        <w:t>v</w:t>
      </w:r>
      <w:r>
        <w:t>illage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safety,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 w:rsidR="006D0BB0">
        <w:rPr>
          <w:spacing w:val="1"/>
        </w:rPr>
        <w:t xml:space="preserve">its </w:t>
      </w:r>
      <w:r>
        <w:t>residents;</w:t>
      </w:r>
      <w:r>
        <w:rPr>
          <w:spacing w:val="1"/>
        </w:rPr>
        <w:t xml:space="preserve"> </w:t>
      </w:r>
      <w:r>
        <w:t>and</w:t>
      </w:r>
    </w:p>
    <w:p w14:paraId="721ECA76" w14:textId="77777777" w:rsidR="0016415C" w:rsidRDefault="0016415C" w:rsidP="007223AE">
      <w:pPr>
        <w:pStyle w:val="BodyText"/>
      </w:pPr>
    </w:p>
    <w:p w14:paraId="6A6ECC60" w14:textId="77777777" w:rsidR="007851E7" w:rsidRDefault="0008218A" w:rsidP="00797D17">
      <w:pPr>
        <w:pStyle w:val="BodyText"/>
        <w:ind w:left="100" w:firstLine="720"/>
      </w:pPr>
      <w:r>
        <w:rPr>
          <w:i/>
        </w:rPr>
        <w:t>WHEREAS</w:t>
      </w:r>
      <w:r w:rsidR="00AB12BA">
        <w:t>,</w:t>
      </w:r>
      <w:r>
        <w:t xml:space="preserve"> </w:t>
      </w:r>
      <w:r w:rsidR="007C340F">
        <w:t>zoning regulations</w:t>
      </w:r>
      <w:r w:rsidR="007C340F">
        <w:t xml:space="preserve"> within the Village of Canton are set </w:t>
      </w:r>
      <w:r w:rsidR="007C340F">
        <w:t>forth at Chapter 325</w:t>
      </w:r>
      <w:r w:rsidR="007851E7">
        <w:t xml:space="preserve"> of the Canton Village Code; and</w:t>
      </w:r>
    </w:p>
    <w:p w14:paraId="677CFB1F" w14:textId="77777777" w:rsidR="00AB1F17" w:rsidRDefault="00AB1F17" w:rsidP="006825E4">
      <w:pPr>
        <w:pStyle w:val="BodyText"/>
      </w:pPr>
    </w:p>
    <w:p w14:paraId="1FE9164F" w14:textId="4B59161E" w:rsidR="00F044B4" w:rsidRDefault="00F044B4" w:rsidP="00F044B4">
      <w:pPr>
        <w:pStyle w:val="BodyText"/>
        <w:ind w:left="100" w:firstLine="720"/>
      </w:pPr>
      <w:r>
        <w:rPr>
          <w:i/>
        </w:rPr>
        <w:t>WHEREAS</w:t>
      </w:r>
      <w:r>
        <w:t>, following the adoption of its</w:t>
      </w:r>
      <w:r w:rsidRPr="00167DA5">
        <w:t xml:space="preserve"> new Comprehensive Plan</w:t>
      </w:r>
      <w:r>
        <w:t xml:space="preserve"> in October 2019</w:t>
      </w:r>
      <w:r w:rsidRPr="00167DA5">
        <w:t xml:space="preserve">, the Village </w:t>
      </w:r>
      <w:r>
        <w:t>of Canton embarked upon revision</w:t>
      </w:r>
      <w:r>
        <w:t>s</w:t>
      </w:r>
      <w:r>
        <w:t xml:space="preserve"> of Chapter 325</w:t>
      </w:r>
      <w:r w:rsidRPr="00167DA5">
        <w:t xml:space="preserve"> </w:t>
      </w:r>
      <w:r>
        <w:t>to reflect</w:t>
      </w:r>
      <w:r w:rsidRPr="00167DA5">
        <w:t xml:space="preserve"> the goals and recommendations in the Comprehensive Plan</w:t>
      </w:r>
      <w:r>
        <w:t xml:space="preserve">. The </w:t>
      </w:r>
      <w:r>
        <w:t>revisions</w:t>
      </w:r>
      <w:r>
        <w:t xml:space="preserve"> </w:t>
      </w:r>
      <w:r>
        <w:t>update</w:t>
      </w:r>
      <w:r>
        <w:t xml:space="preserve"> the Village’s zoning districts</w:t>
      </w:r>
      <w:r>
        <w:t>,</w:t>
      </w:r>
      <w:r>
        <w:t xml:space="preserve"> definitions, zoning map, and land use and site development standards, </w:t>
      </w:r>
      <w:r>
        <w:t>and include</w:t>
      </w:r>
      <w:r>
        <w:t xml:space="preserve"> sign regulations, procedures for review by the Village Planning Board and Zoning Board of Appeals, and </w:t>
      </w:r>
      <w:r>
        <w:t xml:space="preserve">provisions </w:t>
      </w:r>
      <w:r>
        <w:t>for the administration and enforcement of zoning regulations within the Village</w:t>
      </w:r>
      <w:r>
        <w:t xml:space="preserve">. </w:t>
      </w:r>
      <w:r>
        <w:t xml:space="preserve">The Village of Canton Board of Trustees held a virtual </w:t>
      </w:r>
      <w:r w:rsidRPr="006825E4">
        <w:t>public informati</w:t>
      </w:r>
      <w:r>
        <w:t>onal meeting on October 4, 2021,</w:t>
      </w:r>
      <w:r w:rsidRPr="006825E4">
        <w:t xml:space="preserve"> and two in-person o</w:t>
      </w:r>
      <w:r>
        <w:t xml:space="preserve">pen houses on October 18, 2021 </w:t>
      </w:r>
      <w:r w:rsidRPr="006825E4">
        <w:t>for community members to ask questions and provid</w:t>
      </w:r>
      <w:r>
        <w:t xml:space="preserve">e input on the draft revised zoning law. Referrals were made to the Village of Canton Planning Board and the St. Lawrence County Planning Office </w:t>
      </w:r>
      <w:r>
        <w:t xml:space="preserve">for review </w:t>
      </w:r>
      <w:r>
        <w:t>pursuant to Canton Village Code §325-63(C) and General Municipal Law §239-m</w:t>
      </w:r>
      <w:r w:rsidR="006755C8">
        <w:t xml:space="preserve">, and final revisions </w:t>
      </w:r>
      <w:r w:rsidR="001F3285">
        <w:t xml:space="preserve">to the draft zoning law </w:t>
      </w:r>
      <w:bookmarkStart w:id="0" w:name="_GoBack"/>
      <w:bookmarkEnd w:id="0"/>
      <w:r w:rsidR="006755C8">
        <w:t>have been made.</w:t>
      </w:r>
    </w:p>
    <w:p w14:paraId="69059723" w14:textId="77777777" w:rsidR="006755C8" w:rsidRDefault="006755C8" w:rsidP="00F044B4">
      <w:pPr>
        <w:pStyle w:val="BodyText"/>
        <w:ind w:left="100" w:firstLine="720"/>
      </w:pPr>
    </w:p>
    <w:p w14:paraId="62E654EF" w14:textId="13EEE14E" w:rsidR="006755C8" w:rsidRPr="006825E4" w:rsidRDefault="006755C8" w:rsidP="006755C8">
      <w:pPr>
        <w:pStyle w:val="BodyText"/>
        <w:spacing w:before="1"/>
        <w:ind w:left="100" w:firstLine="720"/>
      </w:pPr>
      <w:r>
        <w:rPr>
          <w:i/>
        </w:rPr>
        <w:t>NOW,</w:t>
      </w:r>
      <w:r>
        <w:rPr>
          <w:i/>
          <w:spacing w:val="-1"/>
        </w:rPr>
        <w:t xml:space="preserve"> </w:t>
      </w:r>
      <w:r>
        <w:rPr>
          <w:i/>
        </w:rPr>
        <w:t>THERFORE,</w:t>
      </w:r>
      <w:r>
        <w:rPr>
          <w:i/>
          <w:spacing w:val="-1"/>
        </w:rPr>
        <w:t xml:space="preserve"> </w:t>
      </w:r>
      <w:r>
        <w:t>following consideration of the final draft zoning law at a public hearing,</w:t>
      </w:r>
    </w:p>
    <w:p w14:paraId="2BDB877A" w14:textId="77777777" w:rsidR="00F044B4" w:rsidRDefault="00F044B4" w:rsidP="006825E4">
      <w:pPr>
        <w:pStyle w:val="BodyText"/>
      </w:pPr>
    </w:p>
    <w:p w14:paraId="574B893E" w14:textId="2214065A" w:rsidR="00AB1F17" w:rsidRDefault="002B1299" w:rsidP="00720FE3">
      <w:pPr>
        <w:pStyle w:val="BodyText"/>
        <w:spacing w:before="1"/>
        <w:ind w:left="100" w:firstLine="720"/>
      </w:pPr>
      <w:r w:rsidRPr="00D77097">
        <w:rPr>
          <w:i/>
        </w:rPr>
        <w:t>BE IT ENACTED</w:t>
      </w:r>
      <w:r>
        <w:rPr>
          <w:spacing w:val="-1"/>
        </w:rPr>
        <w:t xml:space="preserve"> </w:t>
      </w:r>
      <w:r w:rsidR="0008218A">
        <w:t>by</w:t>
      </w:r>
      <w:r w:rsidR="0008218A">
        <w:rPr>
          <w:spacing w:val="-6"/>
        </w:rPr>
        <w:t xml:space="preserve"> </w:t>
      </w:r>
      <w:r w:rsidR="0008218A">
        <w:t>the</w:t>
      </w:r>
      <w:r w:rsidR="0008218A">
        <w:rPr>
          <w:spacing w:val="-1"/>
        </w:rPr>
        <w:t xml:space="preserve"> </w:t>
      </w:r>
      <w:r w:rsidR="0008218A">
        <w:t>Board</w:t>
      </w:r>
      <w:r w:rsidR="0008218A">
        <w:rPr>
          <w:spacing w:val="-1"/>
        </w:rPr>
        <w:t xml:space="preserve"> </w:t>
      </w:r>
      <w:r w:rsidR="0008218A">
        <w:t>of</w:t>
      </w:r>
      <w:r w:rsidR="0008218A">
        <w:rPr>
          <w:spacing w:val="-1"/>
        </w:rPr>
        <w:t xml:space="preserve"> </w:t>
      </w:r>
      <w:r w:rsidR="0008218A">
        <w:t>Trustees of</w:t>
      </w:r>
      <w:r w:rsidR="0008218A">
        <w:rPr>
          <w:spacing w:val="-1"/>
        </w:rPr>
        <w:t xml:space="preserve"> </w:t>
      </w:r>
      <w:r w:rsidR="0008218A">
        <w:t>the Village</w:t>
      </w:r>
      <w:r w:rsidR="0008218A">
        <w:rPr>
          <w:spacing w:val="-2"/>
        </w:rPr>
        <w:t xml:space="preserve"> </w:t>
      </w:r>
      <w:r w:rsidR="0008218A">
        <w:t>of</w:t>
      </w:r>
      <w:r w:rsidR="0008218A">
        <w:rPr>
          <w:spacing w:val="1"/>
        </w:rPr>
        <w:t xml:space="preserve"> </w:t>
      </w:r>
      <w:r w:rsidR="0008218A">
        <w:t>Canton,</w:t>
      </w:r>
      <w:r w:rsidR="0008218A">
        <w:rPr>
          <w:spacing w:val="-1"/>
        </w:rPr>
        <w:t xml:space="preserve"> </w:t>
      </w:r>
      <w:r w:rsidR="0008218A">
        <w:t>New</w:t>
      </w:r>
      <w:r w:rsidR="0008218A">
        <w:rPr>
          <w:spacing w:val="-1"/>
        </w:rPr>
        <w:t xml:space="preserve"> </w:t>
      </w:r>
      <w:r w:rsidR="00FA4BA1">
        <w:t>York, as follows:</w:t>
      </w:r>
    </w:p>
    <w:p w14:paraId="452755F6" w14:textId="77777777" w:rsidR="00AB1F17" w:rsidRDefault="00AB1F17" w:rsidP="00AB1F17">
      <w:pPr>
        <w:pStyle w:val="BodyText"/>
        <w:spacing w:before="1"/>
        <w:ind w:left="100"/>
        <w:rPr>
          <w:i/>
        </w:rPr>
      </w:pPr>
    </w:p>
    <w:p w14:paraId="77D872FD" w14:textId="18041DD0" w:rsidR="00D43D08" w:rsidRDefault="00D43D08" w:rsidP="00D43D08">
      <w:pPr>
        <w:pStyle w:val="BodyText"/>
        <w:numPr>
          <w:ilvl w:val="0"/>
          <w:numId w:val="5"/>
        </w:numPr>
        <w:spacing w:before="1"/>
      </w:pPr>
      <w:r w:rsidRPr="00AB1F17">
        <w:t>C</w:t>
      </w:r>
      <w:r>
        <w:t>hapter 325</w:t>
      </w:r>
      <w:r w:rsidRPr="00AB1F17">
        <w:t xml:space="preserve"> (</w:t>
      </w:r>
      <w:r w:rsidR="003752E1">
        <w:rPr>
          <w:i/>
        </w:rPr>
        <w:t>“</w:t>
      </w:r>
      <w:r w:rsidR="006A393B">
        <w:rPr>
          <w:i/>
        </w:rPr>
        <w:t>Zoning</w:t>
      </w:r>
      <w:r w:rsidR="003752E1">
        <w:rPr>
          <w:i/>
        </w:rPr>
        <w:t>”</w:t>
      </w:r>
      <w:r w:rsidRPr="00AB1F17">
        <w:t xml:space="preserve">) of the Canton </w:t>
      </w:r>
      <w:r>
        <w:t xml:space="preserve">Village </w:t>
      </w:r>
      <w:r w:rsidRPr="00AB1F17">
        <w:t xml:space="preserve">Code shall be </w:t>
      </w:r>
      <w:r w:rsidR="006A393B">
        <w:t xml:space="preserve">and hereby is </w:t>
      </w:r>
      <w:r w:rsidRPr="00AB1F17">
        <w:t>repealed</w:t>
      </w:r>
      <w:r>
        <w:t>, and shall henceforth be replaced by new Chapter 325 (</w:t>
      </w:r>
      <w:r w:rsidR="003752E1">
        <w:rPr>
          <w:i/>
        </w:rPr>
        <w:t>“</w:t>
      </w:r>
      <w:r w:rsidRPr="00D43D08">
        <w:rPr>
          <w:i/>
        </w:rPr>
        <w:t>Zoning Law</w:t>
      </w:r>
      <w:r w:rsidR="003752E1">
        <w:rPr>
          <w:i/>
        </w:rPr>
        <w:t>”</w:t>
      </w:r>
      <w:r>
        <w:t>), he</w:t>
      </w:r>
      <w:r w:rsidR="007E4A8B">
        <w:t>reafter described at Paragraph 2</w:t>
      </w:r>
      <w:r>
        <w:t>.</w:t>
      </w:r>
    </w:p>
    <w:p w14:paraId="1DFBD82C" w14:textId="77777777" w:rsidR="00D43D08" w:rsidRDefault="00D43D08" w:rsidP="00D43D08">
      <w:pPr>
        <w:pStyle w:val="ListParagraph"/>
      </w:pPr>
    </w:p>
    <w:p w14:paraId="231CABE9" w14:textId="4069D780" w:rsidR="00D43D08" w:rsidRPr="00AB1F17" w:rsidRDefault="00D43D08" w:rsidP="006A393B">
      <w:pPr>
        <w:pStyle w:val="BodyText"/>
        <w:numPr>
          <w:ilvl w:val="0"/>
          <w:numId w:val="5"/>
        </w:numPr>
        <w:spacing w:before="1"/>
      </w:pPr>
      <w:r>
        <w:t>A new Chapter 325 titled “</w:t>
      </w:r>
      <w:r w:rsidRPr="006A393B">
        <w:rPr>
          <w:i/>
        </w:rPr>
        <w:t>Zoning Law</w:t>
      </w:r>
      <w:r>
        <w:t xml:space="preserve">” shall be and hereby is </w:t>
      </w:r>
      <w:r w:rsidR="00641452">
        <w:t xml:space="preserve">adopted and </w:t>
      </w:r>
      <w:r>
        <w:t>added to the Canton Village Code. Said new C</w:t>
      </w:r>
      <w:r w:rsidR="006A393B">
        <w:t>hapter 325</w:t>
      </w:r>
      <w:r w:rsidR="003752E1">
        <w:t xml:space="preserve"> </w:t>
      </w:r>
      <w:r w:rsidR="003752E1" w:rsidRPr="00AB1F17">
        <w:t>(</w:t>
      </w:r>
      <w:r w:rsidR="003752E1">
        <w:rPr>
          <w:i/>
        </w:rPr>
        <w:t>“</w:t>
      </w:r>
      <w:r w:rsidR="003752E1" w:rsidRPr="00D43D08">
        <w:rPr>
          <w:i/>
        </w:rPr>
        <w:t>Zoning Law</w:t>
      </w:r>
      <w:r w:rsidR="003752E1">
        <w:rPr>
          <w:i/>
        </w:rPr>
        <w:t>”</w:t>
      </w:r>
      <w:r w:rsidR="003752E1" w:rsidRPr="00AB1F17">
        <w:t>)</w:t>
      </w:r>
      <w:r w:rsidR="00447751">
        <w:t>, comprising</w:t>
      </w:r>
      <w:r>
        <w:t xml:space="preserve"> Articles </w:t>
      </w:r>
      <w:r w:rsidRPr="006A393B">
        <w:rPr>
          <w:i/>
        </w:rPr>
        <w:t>I – XVIII</w:t>
      </w:r>
      <w:r>
        <w:t xml:space="preserve"> with </w:t>
      </w:r>
      <w:r w:rsidR="00641452">
        <w:t xml:space="preserve">introductory </w:t>
      </w:r>
      <w:r>
        <w:t>Table of Contents,</w:t>
      </w:r>
      <w:r w:rsidR="003752E1">
        <w:t xml:space="preserve"> </w:t>
      </w:r>
      <w:r>
        <w:t>is set forth in its entirety on the following pages of this local law</w:t>
      </w:r>
      <w:r w:rsidR="00671DF2">
        <w:t xml:space="preserve">, and, </w:t>
      </w:r>
      <w:r w:rsidR="006A393B">
        <w:t>together with the “</w:t>
      </w:r>
      <w:r w:rsidR="006A393B" w:rsidRPr="006A393B">
        <w:rPr>
          <w:i/>
        </w:rPr>
        <w:t>Village of Canton Zoning Map</w:t>
      </w:r>
      <w:r w:rsidR="006A393B">
        <w:t xml:space="preserve">” referenced at </w:t>
      </w:r>
      <w:r w:rsidR="006A393B" w:rsidRPr="006A393B">
        <w:rPr>
          <w:i/>
        </w:rPr>
        <w:t>§325-14</w:t>
      </w:r>
      <w:r w:rsidR="006A393B">
        <w:t xml:space="preserve"> </w:t>
      </w:r>
      <w:r w:rsidR="00AC37AA">
        <w:t>thereof</w:t>
      </w:r>
      <w:r w:rsidR="006A393B">
        <w:t xml:space="preserve">, </w:t>
      </w:r>
      <w:r w:rsidR="006A393B">
        <w:rPr>
          <w:color w:val="000000"/>
        </w:rPr>
        <w:t>is</w:t>
      </w:r>
      <w:r w:rsidR="006A393B" w:rsidRPr="006A393B">
        <w:rPr>
          <w:color w:val="000000"/>
        </w:rPr>
        <w:t xml:space="preserve"> in all respects incorporated into </w:t>
      </w:r>
      <w:r w:rsidR="006A393B">
        <w:rPr>
          <w:color w:val="000000"/>
        </w:rPr>
        <w:t xml:space="preserve">and as part of </w:t>
      </w:r>
      <w:r w:rsidR="006A393B" w:rsidRPr="006A393B">
        <w:rPr>
          <w:color w:val="000000"/>
        </w:rPr>
        <w:t xml:space="preserve">this </w:t>
      </w:r>
      <w:r w:rsidR="006A393B">
        <w:rPr>
          <w:color w:val="000000"/>
        </w:rPr>
        <w:t>local law</w:t>
      </w:r>
      <w:r w:rsidR="006A393B" w:rsidRPr="006A393B">
        <w:rPr>
          <w:color w:val="000000"/>
        </w:rPr>
        <w:t>.</w:t>
      </w:r>
      <w:r w:rsidR="006A393B">
        <w:t xml:space="preserve"> </w:t>
      </w:r>
    </w:p>
    <w:p w14:paraId="13FD5B51" w14:textId="126E0E06" w:rsidR="00D43D08" w:rsidRPr="00D43D08" w:rsidRDefault="00D43D08" w:rsidP="00D43D08">
      <w:pPr>
        <w:tabs>
          <w:tab w:val="left" w:pos="1540"/>
          <w:tab w:val="left" w:pos="1541"/>
        </w:tabs>
        <w:rPr>
          <w:sz w:val="24"/>
        </w:rPr>
      </w:pPr>
    </w:p>
    <w:p w14:paraId="1470FE50" w14:textId="44C2C32C" w:rsidR="00AB12BA" w:rsidRPr="00AB12BA" w:rsidRDefault="007E4A8B" w:rsidP="00AB12BA">
      <w:pPr>
        <w:ind w:firstLine="715"/>
        <w:rPr>
          <w:i/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AB12BA">
        <w:rPr>
          <w:sz w:val="24"/>
          <w:szCs w:val="24"/>
        </w:rPr>
        <w:t>.</w:t>
      </w:r>
      <w:r w:rsidR="00AB12BA">
        <w:rPr>
          <w:sz w:val="24"/>
          <w:szCs w:val="24"/>
        </w:rPr>
        <w:tab/>
      </w:r>
      <w:r w:rsidR="00AB12BA" w:rsidRPr="00AB12BA">
        <w:rPr>
          <w:sz w:val="24"/>
          <w:szCs w:val="24"/>
        </w:rPr>
        <w:t>This local law shall take effect immediately upon its filing with the Secretary of State.</w:t>
      </w:r>
    </w:p>
    <w:p w14:paraId="1A80FB1B" w14:textId="77777777" w:rsidR="00D11D71" w:rsidRDefault="00D11D71" w:rsidP="00AB12BA">
      <w:pPr>
        <w:rPr>
          <w:sz w:val="24"/>
          <w:szCs w:val="24"/>
        </w:rPr>
      </w:pPr>
    </w:p>
    <w:p w14:paraId="321EE1DE" w14:textId="1AF79B68" w:rsidR="002E62F1" w:rsidRPr="006825E4" w:rsidRDefault="002E62F1" w:rsidP="006825E4">
      <w:pPr>
        <w:rPr>
          <w:sz w:val="24"/>
          <w:szCs w:val="24"/>
        </w:rPr>
      </w:pPr>
    </w:p>
    <w:sectPr w:rsidR="002E62F1" w:rsidRPr="006825E4" w:rsidSect="00AB12BA">
      <w:footerReference w:type="default" r:id="rId7"/>
      <w:pgSz w:w="12240" w:h="15840"/>
      <w:pgMar w:top="1440" w:right="1080" w:bottom="1440" w:left="108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8BD2" w14:textId="77777777" w:rsidR="00E5345B" w:rsidRDefault="00E5345B">
      <w:r>
        <w:separator/>
      </w:r>
    </w:p>
  </w:endnote>
  <w:endnote w:type="continuationSeparator" w:id="0">
    <w:p w14:paraId="00CAE677" w14:textId="77777777" w:rsidR="00E5345B" w:rsidRDefault="00E5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CA89" w14:textId="29A9780A" w:rsidR="0016415C" w:rsidRDefault="000821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ECA8A" wp14:editId="60654F8B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ECA8B" w14:textId="77777777" w:rsidR="0016415C" w:rsidRDefault="000821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28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C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B8br7HfAAAADQEAAA8AAAAA&#10;AAAAAAAAAAAABAUAAGRycy9kb3ducmV2LnhtbFBLBQYAAAAABAAEAPMAAAAQBgAAAAA=&#10;" filled="f" stroked="f">
              <v:textbox inset="0,0,0,0">
                <w:txbxContent>
                  <w:p w14:paraId="721ECA8B" w14:textId="77777777" w:rsidR="0016415C" w:rsidRDefault="000821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28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0124" w14:textId="77777777" w:rsidR="00E5345B" w:rsidRDefault="00E5345B">
      <w:r>
        <w:separator/>
      </w:r>
    </w:p>
  </w:footnote>
  <w:footnote w:type="continuationSeparator" w:id="0">
    <w:p w14:paraId="7C26D15F" w14:textId="77777777" w:rsidR="00E5345B" w:rsidRDefault="00E5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B68"/>
    <w:multiLevelType w:val="hybridMultilevel"/>
    <w:tmpl w:val="A784EF9C"/>
    <w:lvl w:ilvl="0" w:tplc="CEEE1FF0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24B3C0">
      <w:start w:val="1"/>
      <w:numFmt w:val="low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E30EE7A">
      <w:numFmt w:val="bullet"/>
      <w:lvlText w:val="•"/>
      <w:lvlJc w:val="left"/>
      <w:pPr>
        <w:ind w:left="3215" w:hanging="720"/>
      </w:pPr>
      <w:rPr>
        <w:rFonts w:hint="default"/>
        <w:lang w:val="en-US" w:eastAsia="en-US" w:bidi="ar-SA"/>
      </w:rPr>
    </w:lvl>
    <w:lvl w:ilvl="3" w:tplc="502AD654">
      <w:numFmt w:val="bullet"/>
      <w:lvlText w:val="•"/>
      <w:lvlJc w:val="left"/>
      <w:pPr>
        <w:ind w:left="4171" w:hanging="720"/>
      </w:pPr>
      <w:rPr>
        <w:rFonts w:hint="default"/>
        <w:lang w:val="en-US" w:eastAsia="en-US" w:bidi="ar-SA"/>
      </w:rPr>
    </w:lvl>
    <w:lvl w:ilvl="4" w:tplc="168AFF46">
      <w:numFmt w:val="bullet"/>
      <w:lvlText w:val="•"/>
      <w:lvlJc w:val="left"/>
      <w:pPr>
        <w:ind w:left="5126" w:hanging="720"/>
      </w:pPr>
      <w:rPr>
        <w:rFonts w:hint="default"/>
        <w:lang w:val="en-US" w:eastAsia="en-US" w:bidi="ar-SA"/>
      </w:rPr>
    </w:lvl>
    <w:lvl w:ilvl="5" w:tplc="A3F0A542">
      <w:numFmt w:val="bullet"/>
      <w:lvlText w:val="•"/>
      <w:lvlJc w:val="left"/>
      <w:pPr>
        <w:ind w:left="6082" w:hanging="720"/>
      </w:pPr>
      <w:rPr>
        <w:rFonts w:hint="default"/>
        <w:lang w:val="en-US" w:eastAsia="en-US" w:bidi="ar-SA"/>
      </w:rPr>
    </w:lvl>
    <w:lvl w:ilvl="6" w:tplc="60A2C188">
      <w:numFmt w:val="bullet"/>
      <w:lvlText w:val="•"/>
      <w:lvlJc w:val="left"/>
      <w:pPr>
        <w:ind w:left="7037" w:hanging="720"/>
      </w:pPr>
      <w:rPr>
        <w:rFonts w:hint="default"/>
        <w:lang w:val="en-US" w:eastAsia="en-US" w:bidi="ar-SA"/>
      </w:rPr>
    </w:lvl>
    <w:lvl w:ilvl="7" w:tplc="2F4AB736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8" w:tplc="2B282CAE">
      <w:numFmt w:val="bullet"/>
      <w:lvlText w:val="•"/>
      <w:lvlJc w:val="left"/>
      <w:pPr>
        <w:ind w:left="89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B3B150F"/>
    <w:multiLevelType w:val="singleLevel"/>
    <w:tmpl w:val="0CB846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438C0ED8"/>
    <w:multiLevelType w:val="hybridMultilevel"/>
    <w:tmpl w:val="DD802AEE"/>
    <w:lvl w:ilvl="0" w:tplc="E0B0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808E4"/>
    <w:multiLevelType w:val="hybridMultilevel"/>
    <w:tmpl w:val="77DA839C"/>
    <w:lvl w:ilvl="0" w:tplc="ABDA5B8C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4" w15:restartNumberingAfterBreak="0">
    <w:nsid w:val="7D9766C7"/>
    <w:multiLevelType w:val="hybridMultilevel"/>
    <w:tmpl w:val="1832AB90"/>
    <w:lvl w:ilvl="0" w:tplc="7A9E8058">
      <w:start w:val="1"/>
      <w:numFmt w:val="decimal"/>
      <w:lvlText w:val="%1."/>
      <w:lvlJc w:val="left"/>
      <w:pPr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C"/>
    <w:rsid w:val="000428B4"/>
    <w:rsid w:val="00054EE5"/>
    <w:rsid w:val="00063162"/>
    <w:rsid w:val="000716AB"/>
    <w:rsid w:val="0008218A"/>
    <w:rsid w:val="000E6E11"/>
    <w:rsid w:val="0016415C"/>
    <w:rsid w:val="001725CB"/>
    <w:rsid w:val="001F3285"/>
    <w:rsid w:val="0023196D"/>
    <w:rsid w:val="00237F6C"/>
    <w:rsid w:val="00292E93"/>
    <w:rsid w:val="002B1299"/>
    <w:rsid w:val="002D7108"/>
    <w:rsid w:val="002E62F1"/>
    <w:rsid w:val="00315FDA"/>
    <w:rsid w:val="003173E4"/>
    <w:rsid w:val="003643F3"/>
    <w:rsid w:val="00364437"/>
    <w:rsid w:val="003752E1"/>
    <w:rsid w:val="003E5E08"/>
    <w:rsid w:val="00407B14"/>
    <w:rsid w:val="00413E9C"/>
    <w:rsid w:val="004177FD"/>
    <w:rsid w:val="00447751"/>
    <w:rsid w:val="00454E26"/>
    <w:rsid w:val="004B4C87"/>
    <w:rsid w:val="00553AD8"/>
    <w:rsid w:val="00572FD7"/>
    <w:rsid w:val="005747F1"/>
    <w:rsid w:val="00581F35"/>
    <w:rsid w:val="00641452"/>
    <w:rsid w:val="0064605E"/>
    <w:rsid w:val="00646C34"/>
    <w:rsid w:val="00671DF2"/>
    <w:rsid w:val="006755C8"/>
    <w:rsid w:val="006825E4"/>
    <w:rsid w:val="006A393B"/>
    <w:rsid w:val="006D0BB0"/>
    <w:rsid w:val="006F3519"/>
    <w:rsid w:val="006F5CF5"/>
    <w:rsid w:val="00720FE3"/>
    <w:rsid w:val="007223AE"/>
    <w:rsid w:val="00742B3E"/>
    <w:rsid w:val="007851E7"/>
    <w:rsid w:val="00797D17"/>
    <w:rsid w:val="007C340F"/>
    <w:rsid w:val="007C48CC"/>
    <w:rsid w:val="007E0F5F"/>
    <w:rsid w:val="007E4A8B"/>
    <w:rsid w:val="007F3016"/>
    <w:rsid w:val="00815849"/>
    <w:rsid w:val="008671B1"/>
    <w:rsid w:val="00880259"/>
    <w:rsid w:val="00891ABA"/>
    <w:rsid w:val="008C63D8"/>
    <w:rsid w:val="008E1FE8"/>
    <w:rsid w:val="008E2023"/>
    <w:rsid w:val="009027AA"/>
    <w:rsid w:val="00912E29"/>
    <w:rsid w:val="00920BD0"/>
    <w:rsid w:val="00926E01"/>
    <w:rsid w:val="00945588"/>
    <w:rsid w:val="0095463D"/>
    <w:rsid w:val="00980B86"/>
    <w:rsid w:val="009E0433"/>
    <w:rsid w:val="009E3972"/>
    <w:rsid w:val="00A45498"/>
    <w:rsid w:val="00A9464C"/>
    <w:rsid w:val="00AB12BA"/>
    <w:rsid w:val="00AB1F17"/>
    <w:rsid w:val="00AC37AA"/>
    <w:rsid w:val="00B12ECC"/>
    <w:rsid w:val="00B14E46"/>
    <w:rsid w:val="00B61058"/>
    <w:rsid w:val="00B94239"/>
    <w:rsid w:val="00C4393A"/>
    <w:rsid w:val="00C6159B"/>
    <w:rsid w:val="00CD7EAC"/>
    <w:rsid w:val="00D109EF"/>
    <w:rsid w:val="00D11D71"/>
    <w:rsid w:val="00D11FBB"/>
    <w:rsid w:val="00D121A9"/>
    <w:rsid w:val="00D30667"/>
    <w:rsid w:val="00D43D08"/>
    <w:rsid w:val="00D60C51"/>
    <w:rsid w:val="00DA17ED"/>
    <w:rsid w:val="00DA7BF1"/>
    <w:rsid w:val="00DE1C77"/>
    <w:rsid w:val="00E15A24"/>
    <w:rsid w:val="00E21E25"/>
    <w:rsid w:val="00E5345B"/>
    <w:rsid w:val="00E560C4"/>
    <w:rsid w:val="00EA7D4E"/>
    <w:rsid w:val="00EC124F"/>
    <w:rsid w:val="00F044B4"/>
    <w:rsid w:val="00FA2B37"/>
    <w:rsid w:val="00FA4BA1"/>
    <w:rsid w:val="00FD467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1ECA70"/>
  <w15:docId w15:val="{5218CD6C-0695-4C2D-97BF-1B2D67F0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1" w:right="959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891ABA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437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4605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64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Benedict</dc:creator>
  <cp:lastModifiedBy>Gerald J. Ducharme</cp:lastModifiedBy>
  <cp:revision>7</cp:revision>
  <dcterms:created xsi:type="dcterms:W3CDTF">2021-11-29T14:08:00Z</dcterms:created>
  <dcterms:modified xsi:type="dcterms:W3CDTF">2021-11-29T14:52:00Z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